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5C7A8" w14:textId="68DDE32C" w:rsidR="0038342C" w:rsidRPr="006B4996" w:rsidRDefault="0038342C" w:rsidP="00EF0248">
      <w:pPr>
        <w:rPr>
          <w:rFonts w:eastAsia="Times New Roman" w:cstheme="minorHAnsi"/>
          <w:sz w:val="22"/>
          <w:szCs w:val="22"/>
          <w:lang w:eastAsia="fr-FR"/>
        </w:rPr>
      </w:pPr>
      <w:r w:rsidRPr="006B4996">
        <w:rPr>
          <w:rFonts w:eastAsia="Times New Roman" w:cstheme="minorHAnsi"/>
          <w:sz w:val="22"/>
          <w:szCs w:val="22"/>
          <w:lang w:eastAsia="fr-FR"/>
        </w:rPr>
        <w:fldChar w:fldCharType="begin"/>
      </w:r>
      <w:r w:rsidRPr="006B4996">
        <w:rPr>
          <w:rFonts w:eastAsia="Times New Roman" w:cstheme="minorHAnsi"/>
          <w:sz w:val="22"/>
          <w:szCs w:val="22"/>
          <w:lang w:eastAsia="fr-FR"/>
        </w:rPr>
        <w:instrText xml:space="preserve"> INCLUDEPICTURE "/var/folders/jz/ql6tfcxs7psgm5f9phgy600c0000gn/T/com.microsoft.Word/WebArchiveCopyPasteTempFiles/page1image5007936" \* MERGEFORMATINET </w:instrText>
      </w:r>
      <w:r w:rsidRPr="006B4996">
        <w:rPr>
          <w:rFonts w:eastAsia="Times New Roman" w:cstheme="minorHAnsi"/>
          <w:sz w:val="22"/>
          <w:szCs w:val="22"/>
          <w:lang w:eastAsia="fr-FR"/>
        </w:rPr>
        <w:fldChar w:fldCharType="separate"/>
      </w:r>
      <w:r w:rsidRPr="006B4996">
        <w:rPr>
          <w:rFonts w:eastAsia="Times New Roman" w:cstheme="minorHAnsi"/>
          <w:noProof/>
          <w:sz w:val="22"/>
          <w:szCs w:val="22"/>
          <w:lang w:eastAsia="fr-FR"/>
        </w:rPr>
        <w:drawing>
          <wp:inline distT="0" distB="0" distL="0" distR="0" wp14:anchorId="601C4311" wp14:editId="22A1F9EC">
            <wp:extent cx="1479995" cy="1440000"/>
            <wp:effectExtent l="0" t="0" r="6350" b="8255"/>
            <wp:docPr id="2" name="Image 2" descr="page1image5007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50079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95" cy="1440000"/>
                    </a:xfrm>
                    <a:prstGeom prst="rect">
                      <a:avLst/>
                    </a:prstGeom>
                    <a:noFill/>
                    <a:ln>
                      <a:noFill/>
                    </a:ln>
                  </pic:spPr>
                </pic:pic>
              </a:graphicData>
            </a:graphic>
          </wp:inline>
        </w:drawing>
      </w:r>
      <w:r w:rsidRPr="006B4996">
        <w:rPr>
          <w:rFonts w:eastAsia="Times New Roman" w:cstheme="minorHAnsi"/>
          <w:sz w:val="22"/>
          <w:szCs w:val="22"/>
          <w:lang w:eastAsia="fr-FR"/>
        </w:rPr>
        <w:fldChar w:fldCharType="end"/>
      </w:r>
      <w:r w:rsidR="00EF0248">
        <w:rPr>
          <w:rFonts w:eastAsia="Times New Roman" w:cstheme="minorHAnsi"/>
          <w:sz w:val="22"/>
          <w:szCs w:val="22"/>
          <w:lang w:eastAsia="fr-FR"/>
        </w:rPr>
        <w:t xml:space="preserve"> </w:t>
      </w:r>
    </w:p>
    <w:p w14:paraId="1B67B859" w14:textId="77777777" w:rsidR="006B4996" w:rsidRPr="006B4996" w:rsidRDefault="006B4996" w:rsidP="006944EA">
      <w:pPr>
        <w:spacing w:before="120" w:after="120"/>
        <w:outlineLvl w:val="0"/>
        <w:rPr>
          <w:rFonts w:cstheme="minorHAnsi"/>
          <w:sz w:val="22"/>
          <w:szCs w:val="22"/>
        </w:rPr>
      </w:pPr>
      <w:bookmarkStart w:id="0" w:name="_GoBack"/>
      <w:bookmarkEnd w:id="0"/>
    </w:p>
    <w:p w14:paraId="25C8073C" w14:textId="383ED2BA" w:rsidR="00576407" w:rsidRPr="006B4996" w:rsidRDefault="00576407" w:rsidP="00AB30F9">
      <w:pPr>
        <w:spacing w:before="120" w:after="120"/>
        <w:jc w:val="both"/>
        <w:rPr>
          <w:rFonts w:cstheme="minorHAnsi"/>
          <w:sz w:val="22"/>
          <w:szCs w:val="22"/>
        </w:rPr>
      </w:pPr>
      <w:r w:rsidRPr="006B4996">
        <w:rPr>
          <w:rFonts w:cstheme="minorHAnsi"/>
          <w:sz w:val="22"/>
          <w:szCs w:val="22"/>
        </w:rPr>
        <w:t>Corin</w:t>
      </w:r>
      <w:r w:rsidR="00DB31C6" w:rsidRPr="006B4996">
        <w:rPr>
          <w:rFonts w:cstheme="minorHAnsi"/>
          <w:sz w:val="22"/>
          <w:szCs w:val="22"/>
        </w:rPr>
        <w:t>n</w:t>
      </w:r>
      <w:r w:rsidRPr="006B4996">
        <w:rPr>
          <w:rFonts w:cstheme="minorHAnsi"/>
          <w:sz w:val="22"/>
          <w:szCs w:val="22"/>
        </w:rPr>
        <w:t>e Alberti est m</w:t>
      </w:r>
      <w:r w:rsidR="00A12767" w:rsidRPr="006B4996">
        <w:rPr>
          <w:rFonts w:cstheme="minorHAnsi"/>
          <w:sz w:val="22"/>
          <w:szCs w:val="22"/>
        </w:rPr>
        <w:t>édecin</w:t>
      </w:r>
      <w:r w:rsidRPr="006B4996">
        <w:rPr>
          <w:rFonts w:cstheme="minorHAnsi"/>
          <w:sz w:val="22"/>
          <w:szCs w:val="22"/>
        </w:rPr>
        <w:t xml:space="preserve">, </w:t>
      </w:r>
      <w:r w:rsidR="00A12767" w:rsidRPr="006B4996">
        <w:rPr>
          <w:rFonts w:cstheme="minorHAnsi"/>
          <w:sz w:val="22"/>
          <w:szCs w:val="22"/>
        </w:rPr>
        <w:t>professeure d’épidémiologie et santé publique à l’UFR de médecine de l’</w:t>
      </w:r>
      <w:r w:rsidRPr="006B4996">
        <w:rPr>
          <w:rFonts w:cstheme="minorHAnsi"/>
          <w:sz w:val="22"/>
          <w:szCs w:val="22"/>
        </w:rPr>
        <w:t>U</w:t>
      </w:r>
      <w:r w:rsidR="00A12767" w:rsidRPr="006B4996">
        <w:rPr>
          <w:rFonts w:cstheme="minorHAnsi"/>
          <w:sz w:val="22"/>
          <w:szCs w:val="22"/>
        </w:rPr>
        <w:t xml:space="preserve">niversité </w:t>
      </w:r>
      <w:r w:rsidR="0038342C" w:rsidRPr="006B4996">
        <w:rPr>
          <w:rFonts w:cstheme="minorHAnsi"/>
          <w:sz w:val="22"/>
          <w:szCs w:val="22"/>
        </w:rPr>
        <w:t>de Paris</w:t>
      </w:r>
      <w:r w:rsidR="00A12767" w:rsidRPr="006B4996">
        <w:rPr>
          <w:rFonts w:cstheme="minorHAnsi"/>
          <w:sz w:val="22"/>
          <w:szCs w:val="22"/>
        </w:rPr>
        <w:t xml:space="preserve"> depuis 2008</w:t>
      </w:r>
      <w:r w:rsidRPr="006B4996">
        <w:rPr>
          <w:rFonts w:cstheme="minorHAnsi"/>
          <w:sz w:val="22"/>
          <w:szCs w:val="22"/>
        </w:rPr>
        <w:t>.</w:t>
      </w:r>
      <w:r w:rsidR="002A78AB" w:rsidRPr="006B4996">
        <w:rPr>
          <w:rFonts w:cstheme="minorHAnsi"/>
          <w:sz w:val="22"/>
          <w:szCs w:val="22"/>
        </w:rPr>
        <w:t xml:space="preserve"> Elle exerce ses fonctions hospitalières à l’hôpital universitaire Robert Debré </w:t>
      </w:r>
      <w:r w:rsidR="007F100C" w:rsidRPr="006B4996">
        <w:rPr>
          <w:rFonts w:cstheme="minorHAnsi"/>
          <w:sz w:val="22"/>
          <w:szCs w:val="22"/>
        </w:rPr>
        <w:t xml:space="preserve">à l’Assistance Publique-Hôpitaux de Paris </w:t>
      </w:r>
      <w:r w:rsidR="002A78AB" w:rsidRPr="006B4996">
        <w:rPr>
          <w:rFonts w:cstheme="minorHAnsi"/>
          <w:sz w:val="22"/>
          <w:szCs w:val="22"/>
        </w:rPr>
        <w:t>depuis 2001.</w:t>
      </w:r>
    </w:p>
    <w:p w14:paraId="58AF9AA9" w14:textId="5D26F2B3" w:rsidR="00B65001" w:rsidRPr="006B4996" w:rsidRDefault="00576407" w:rsidP="00AB30F9">
      <w:pPr>
        <w:spacing w:before="120" w:after="120"/>
        <w:jc w:val="both"/>
        <w:rPr>
          <w:rFonts w:cstheme="minorHAnsi"/>
          <w:sz w:val="22"/>
          <w:szCs w:val="22"/>
        </w:rPr>
      </w:pPr>
      <w:r w:rsidRPr="006B4996">
        <w:rPr>
          <w:rFonts w:cstheme="minorHAnsi"/>
          <w:sz w:val="22"/>
          <w:szCs w:val="22"/>
        </w:rPr>
        <w:t xml:space="preserve">Elle </w:t>
      </w:r>
      <w:r w:rsidR="00A12767" w:rsidRPr="006B4996">
        <w:rPr>
          <w:rFonts w:cstheme="minorHAnsi"/>
          <w:sz w:val="22"/>
          <w:szCs w:val="22"/>
        </w:rPr>
        <w:t xml:space="preserve">dirige l’unité d’épidémiologie clinique </w:t>
      </w:r>
      <w:r w:rsidR="00B65001" w:rsidRPr="006B4996">
        <w:rPr>
          <w:rFonts w:cstheme="minorHAnsi"/>
          <w:sz w:val="22"/>
          <w:szCs w:val="22"/>
        </w:rPr>
        <w:t>(UEC)</w:t>
      </w:r>
      <w:r w:rsidR="00660A75" w:rsidRPr="006B4996">
        <w:rPr>
          <w:rFonts w:cstheme="minorHAnsi"/>
          <w:sz w:val="22"/>
          <w:szCs w:val="22"/>
        </w:rPr>
        <w:t>, l’unité de recherche clinique (URC) et le Centre d’Investigations Cliniques (CIC 1426)</w:t>
      </w:r>
      <w:r w:rsidR="0020622C" w:rsidRPr="006B4996">
        <w:rPr>
          <w:rFonts w:cstheme="minorHAnsi"/>
          <w:sz w:val="22"/>
          <w:szCs w:val="22"/>
        </w:rPr>
        <w:t xml:space="preserve"> ; </w:t>
      </w:r>
      <w:r w:rsidR="00660A75" w:rsidRPr="006B4996">
        <w:rPr>
          <w:rFonts w:cstheme="minorHAnsi"/>
          <w:sz w:val="22"/>
          <w:szCs w:val="22"/>
        </w:rPr>
        <w:t xml:space="preserve">Elle co-dirige </w:t>
      </w:r>
      <w:r w:rsidR="00A12767" w:rsidRPr="006B4996">
        <w:rPr>
          <w:rFonts w:cstheme="minorHAnsi"/>
          <w:sz w:val="22"/>
          <w:szCs w:val="22"/>
        </w:rPr>
        <w:t>l’U</w:t>
      </w:r>
      <w:r w:rsidR="00D96214" w:rsidRPr="006B4996">
        <w:rPr>
          <w:rFonts w:cstheme="minorHAnsi"/>
          <w:sz w:val="22"/>
          <w:szCs w:val="22"/>
        </w:rPr>
        <w:t>MR-S 1123</w:t>
      </w:r>
      <w:r w:rsidR="00A12767" w:rsidRPr="006B4996">
        <w:rPr>
          <w:rFonts w:cstheme="minorHAnsi"/>
          <w:sz w:val="22"/>
          <w:szCs w:val="22"/>
        </w:rPr>
        <w:t xml:space="preserve"> ECEVE</w:t>
      </w:r>
      <w:r w:rsidR="00D96214" w:rsidRPr="006B4996">
        <w:rPr>
          <w:rFonts w:cstheme="minorHAnsi"/>
          <w:sz w:val="22"/>
          <w:szCs w:val="22"/>
        </w:rPr>
        <w:t xml:space="preserve"> (</w:t>
      </w:r>
      <w:r w:rsidRPr="006B4996">
        <w:rPr>
          <w:rFonts w:cstheme="minorHAnsi"/>
          <w:sz w:val="22"/>
          <w:szCs w:val="22"/>
        </w:rPr>
        <w:t>Épidémiologie</w:t>
      </w:r>
      <w:r w:rsidR="00D96214" w:rsidRPr="006B4996">
        <w:rPr>
          <w:rFonts w:cstheme="minorHAnsi"/>
          <w:sz w:val="22"/>
          <w:szCs w:val="22"/>
        </w:rPr>
        <w:t xml:space="preserve"> et </w:t>
      </w:r>
      <w:r w:rsidRPr="006B4996">
        <w:rPr>
          <w:rFonts w:cstheme="minorHAnsi"/>
          <w:sz w:val="22"/>
          <w:szCs w:val="22"/>
        </w:rPr>
        <w:t>é</w:t>
      </w:r>
      <w:r w:rsidR="00D96214" w:rsidRPr="006B4996">
        <w:rPr>
          <w:rFonts w:cstheme="minorHAnsi"/>
          <w:sz w:val="22"/>
          <w:szCs w:val="22"/>
        </w:rPr>
        <w:t xml:space="preserve">valuation </w:t>
      </w:r>
      <w:r w:rsidRPr="006B4996">
        <w:rPr>
          <w:rFonts w:cstheme="minorHAnsi"/>
          <w:sz w:val="22"/>
          <w:szCs w:val="22"/>
        </w:rPr>
        <w:t>é</w:t>
      </w:r>
      <w:r w:rsidR="00D96214" w:rsidRPr="006B4996">
        <w:rPr>
          <w:rFonts w:cstheme="minorHAnsi"/>
          <w:sz w:val="22"/>
          <w:szCs w:val="22"/>
        </w:rPr>
        <w:t xml:space="preserve">conomique appliquées aux populations </w:t>
      </w:r>
      <w:r w:rsidRPr="006B4996">
        <w:rPr>
          <w:rFonts w:cstheme="minorHAnsi"/>
          <w:sz w:val="22"/>
          <w:szCs w:val="22"/>
        </w:rPr>
        <w:t>v</w:t>
      </w:r>
      <w:r w:rsidR="00D96214" w:rsidRPr="006B4996">
        <w:rPr>
          <w:rFonts w:cstheme="minorHAnsi"/>
          <w:sz w:val="22"/>
          <w:szCs w:val="22"/>
        </w:rPr>
        <w:t>ulnérables)</w:t>
      </w:r>
      <w:r w:rsidR="00A12767" w:rsidRPr="006B4996">
        <w:rPr>
          <w:rFonts w:cstheme="minorHAnsi"/>
          <w:sz w:val="22"/>
          <w:szCs w:val="22"/>
        </w:rPr>
        <w:t xml:space="preserve"> </w:t>
      </w:r>
      <w:r w:rsidR="00B3696C" w:rsidRPr="006B4996">
        <w:rPr>
          <w:rFonts w:cstheme="minorHAnsi"/>
          <w:sz w:val="22"/>
          <w:szCs w:val="22"/>
        </w:rPr>
        <w:t>avec le Pr Karine Chevreul</w:t>
      </w:r>
      <w:r w:rsidR="00660A75" w:rsidRPr="006B4996">
        <w:rPr>
          <w:rFonts w:cstheme="minorHAnsi"/>
          <w:sz w:val="22"/>
          <w:szCs w:val="22"/>
        </w:rPr>
        <w:t xml:space="preserve"> depuis 2014.</w:t>
      </w:r>
      <w:r w:rsidR="0020622C" w:rsidRPr="006B4996">
        <w:rPr>
          <w:rFonts w:cstheme="minorHAnsi"/>
          <w:sz w:val="22"/>
          <w:szCs w:val="22"/>
        </w:rPr>
        <w:t> </w:t>
      </w:r>
      <w:r w:rsidR="00A12767" w:rsidRPr="006B4996">
        <w:rPr>
          <w:rFonts w:cstheme="minorHAnsi"/>
          <w:sz w:val="22"/>
          <w:szCs w:val="22"/>
        </w:rPr>
        <w:t xml:space="preserve"> </w:t>
      </w:r>
    </w:p>
    <w:p w14:paraId="390AE445" w14:textId="433DDEDB" w:rsidR="00235B94" w:rsidRPr="006B4996" w:rsidRDefault="00544742" w:rsidP="00235B94">
      <w:pPr>
        <w:spacing w:before="120" w:after="120"/>
        <w:jc w:val="both"/>
        <w:rPr>
          <w:rFonts w:eastAsia="Times New Roman" w:cstheme="minorHAnsi"/>
          <w:sz w:val="22"/>
          <w:szCs w:val="22"/>
          <w:lang w:eastAsia="fr-FR"/>
        </w:rPr>
      </w:pPr>
      <w:r w:rsidRPr="006B4996">
        <w:rPr>
          <w:rFonts w:cstheme="minorHAnsi"/>
          <w:sz w:val="22"/>
          <w:szCs w:val="22"/>
        </w:rPr>
        <w:t>Elle</w:t>
      </w:r>
      <w:r w:rsidR="009D5840" w:rsidRPr="006B4996">
        <w:rPr>
          <w:rFonts w:cstheme="minorHAnsi"/>
          <w:sz w:val="22"/>
          <w:szCs w:val="22"/>
        </w:rPr>
        <w:t xml:space="preserve"> est </w:t>
      </w:r>
      <w:r w:rsidR="002A78AB" w:rsidRPr="006B4996">
        <w:rPr>
          <w:rFonts w:cstheme="minorHAnsi"/>
          <w:sz w:val="22"/>
          <w:szCs w:val="22"/>
        </w:rPr>
        <w:t>secrétaire générale</w:t>
      </w:r>
      <w:r w:rsidR="00A12767" w:rsidRPr="006B4996">
        <w:rPr>
          <w:rFonts w:cstheme="minorHAnsi"/>
          <w:sz w:val="22"/>
          <w:szCs w:val="22"/>
        </w:rPr>
        <w:t xml:space="preserve"> du conseil d’administration du Collège </w:t>
      </w:r>
      <w:r w:rsidR="009D5840" w:rsidRPr="006B4996">
        <w:rPr>
          <w:rFonts w:cstheme="minorHAnsi"/>
          <w:sz w:val="22"/>
          <w:szCs w:val="22"/>
        </w:rPr>
        <w:t xml:space="preserve">universitaire </w:t>
      </w:r>
      <w:r w:rsidR="00A12767" w:rsidRPr="006B4996">
        <w:rPr>
          <w:rFonts w:cstheme="minorHAnsi"/>
          <w:sz w:val="22"/>
          <w:szCs w:val="22"/>
        </w:rPr>
        <w:t xml:space="preserve">des </w:t>
      </w:r>
      <w:r w:rsidR="009D5840" w:rsidRPr="006B4996">
        <w:rPr>
          <w:rFonts w:cstheme="minorHAnsi"/>
          <w:sz w:val="22"/>
          <w:szCs w:val="22"/>
        </w:rPr>
        <w:t xml:space="preserve">enseignants </w:t>
      </w:r>
      <w:r w:rsidR="00A12767" w:rsidRPr="006B4996">
        <w:rPr>
          <w:rFonts w:cstheme="minorHAnsi"/>
          <w:sz w:val="22"/>
          <w:szCs w:val="22"/>
        </w:rPr>
        <w:t xml:space="preserve">en </w:t>
      </w:r>
      <w:r w:rsidR="009D5840" w:rsidRPr="006B4996">
        <w:rPr>
          <w:rFonts w:cstheme="minorHAnsi"/>
          <w:sz w:val="22"/>
          <w:szCs w:val="22"/>
        </w:rPr>
        <w:t>santé publique (CUESP)</w:t>
      </w:r>
      <w:r w:rsidR="00A12767" w:rsidRPr="006B4996">
        <w:rPr>
          <w:rFonts w:cstheme="minorHAnsi"/>
          <w:sz w:val="22"/>
          <w:szCs w:val="22"/>
        </w:rPr>
        <w:t>.</w:t>
      </w:r>
      <w:r w:rsidR="00D96214" w:rsidRPr="006B4996">
        <w:rPr>
          <w:rFonts w:cstheme="minorHAnsi"/>
          <w:sz w:val="22"/>
          <w:szCs w:val="22"/>
        </w:rPr>
        <w:t xml:space="preserve"> </w:t>
      </w:r>
      <w:r w:rsidR="00B3696C" w:rsidRPr="006B4996">
        <w:rPr>
          <w:rFonts w:eastAsia="Times New Roman" w:cstheme="minorHAnsi"/>
          <w:sz w:val="22"/>
          <w:szCs w:val="22"/>
          <w:lang w:eastAsia="fr-FR"/>
        </w:rPr>
        <w:t xml:space="preserve"> </w:t>
      </w:r>
      <w:r w:rsidR="00235B94" w:rsidRPr="006B4996">
        <w:rPr>
          <w:rFonts w:eastAsia="Times New Roman" w:cstheme="minorHAnsi"/>
          <w:sz w:val="22"/>
          <w:szCs w:val="22"/>
          <w:lang w:eastAsia="fr-FR"/>
        </w:rPr>
        <w:t xml:space="preserve">Elle est signataire de </w:t>
      </w:r>
      <w:r w:rsidRPr="006B4996">
        <w:rPr>
          <w:rFonts w:eastAsia="Times New Roman" w:cstheme="minorHAnsi"/>
          <w:sz w:val="22"/>
          <w:szCs w:val="22"/>
          <w:lang w:eastAsia="fr-FR"/>
        </w:rPr>
        <w:t>218</w:t>
      </w:r>
      <w:r w:rsidR="00B3696C" w:rsidRPr="006B4996">
        <w:rPr>
          <w:rFonts w:eastAsia="Times New Roman" w:cstheme="minorHAnsi"/>
          <w:sz w:val="22"/>
          <w:szCs w:val="22"/>
          <w:lang w:eastAsia="fr-FR"/>
        </w:rPr>
        <w:t xml:space="preserve"> </w:t>
      </w:r>
      <w:r w:rsidR="00235B94" w:rsidRPr="006B4996">
        <w:rPr>
          <w:rFonts w:eastAsia="Times New Roman" w:cstheme="minorHAnsi"/>
          <w:sz w:val="22"/>
          <w:szCs w:val="22"/>
          <w:lang w:eastAsia="fr-FR"/>
        </w:rPr>
        <w:t>publications en anglais dans des revues biomédicales indexées.</w:t>
      </w:r>
    </w:p>
    <w:p w14:paraId="3615D550" w14:textId="3E676A84" w:rsidR="00317DE1" w:rsidRPr="006B4996" w:rsidRDefault="00317DE1" w:rsidP="00317DE1">
      <w:pPr>
        <w:jc w:val="both"/>
        <w:rPr>
          <w:rFonts w:cstheme="minorHAnsi"/>
          <w:sz w:val="22"/>
          <w:szCs w:val="22"/>
        </w:rPr>
      </w:pPr>
      <w:r w:rsidRPr="006B4996">
        <w:rPr>
          <w:rFonts w:cstheme="minorHAnsi"/>
          <w:sz w:val="22"/>
          <w:szCs w:val="22"/>
        </w:rPr>
        <w:t xml:space="preserve">Ses travaux de recherche sont centrés sur les problématiques spécifiques de la recherche en pédiatrie. Cette recherche est </w:t>
      </w:r>
      <w:r w:rsidRPr="006B4996">
        <w:rPr>
          <w:rFonts w:cstheme="minorHAnsi"/>
          <w:sz w:val="22"/>
          <w:szCs w:val="22"/>
          <w:u w:val="single"/>
        </w:rPr>
        <w:t>méthodologique</w:t>
      </w:r>
      <w:r w:rsidRPr="006B4996">
        <w:rPr>
          <w:rFonts w:cstheme="minorHAnsi"/>
          <w:sz w:val="22"/>
          <w:szCs w:val="22"/>
        </w:rPr>
        <w:t xml:space="preserve"> sur les essais cliniques de faibles effectifs et la validation de critères de jugement pour les études cliniques. Une autre approche est </w:t>
      </w:r>
      <w:r w:rsidRPr="006B4996">
        <w:rPr>
          <w:rFonts w:cstheme="minorHAnsi"/>
          <w:sz w:val="22"/>
          <w:szCs w:val="22"/>
          <w:u w:val="single"/>
        </w:rPr>
        <w:t>épidémiologique</w:t>
      </w:r>
      <w:r w:rsidRPr="006B4996">
        <w:rPr>
          <w:rFonts w:cstheme="minorHAnsi"/>
          <w:sz w:val="22"/>
          <w:szCs w:val="22"/>
        </w:rPr>
        <w:t xml:space="preserve"> orientée vers les maladies chroniques et plus particulièrement les maladies rares afin de définir un cadre rigoureux de description phénotypique et de suivi pour répondre aux questions diagnostiques, pronostiques et thérapeutiques. Enfin en </w:t>
      </w:r>
      <w:r w:rsidRPr="006B4996">
        <w:rPr>
          <w:rFonts w:cstheme="minorHAnsi"/>
          <w:sz w:val="22"/>
          <w:szCs w:val="22"/>
          <w:u w:val="single"/>
        </w:rPr>
        <w:t>santé publique</w:t>
      </w:r>
      <w:r w:rsidRPr="006B4996">
        <w:rPr>
          <w:rFonts w:cstheme="minorHAnsi"/>
          <w:sz w:val="22"/>
          <w:szCs w:val="22"/>
        </w:rPr>
        <w:t xml:space="preserve">, les travaux s’orientent vers les parcours de soins i) des adolescents atteints de maladie chronique et notamment le passage/transition vers la médecine d’adulte, ii) les enfants/adolescents atteints ou susceptibles d’être atteints de troubles neuro-développementaux ou de problème de santé mentale en mixant des approches anthropo-sociologique, d’épidémiologie clinique et d’analyse de grandes bases de données et le développement d’interventions pour le bien-être des adolescents et adultes jeunes et la prévention des conduites à risque.  </w:t>
      </w:r>
    </w:p>
    <w:p w14:paraId="65467AE2" w14:textId="3644D058" w:rsidR="00544742" w:rsidRPr="006B4996" w:rsidRDefault="00EE698A" w:rsidP="00544742">
      <w:pPr>
        <w:spacing w:before="120" w:after="120"/>
        <w:jc w:val="both"/>
        <w:outlineLvl w:val="0"/>
        <w:rPr>
          <w:rFonts w:cstheme="minorHAnsi"/>
          <w:sz w:val="22"/>
          <w:szCs w:val="22"/>
        </w:rPr>
      </w:pPr>
      <w:r w:rsidRPr="006B4996">
        <w:rPr>
          <w:rFonts w:eastAsia="Times New Roman" w:cstheme="minorHAnsi"/>
          <w:sz w:val="22"/>
          <w:szCs w:val="22"/>
          <w:lang w:eastAsia="fr-FR"/>
        </w:rPr>
        <w:t xml:space="preserve">Corinne Alberti </w:t>
      </w:r>
      <w:r w:rsidR="003D4155" w:rsidRPr="006B4996">
        <w:rPr>
          <w:rFonts w:eastAsia="Times New Roman" w:cstheme="minorHAnsi"/>
          <w:sz w:val="22"/>
          <w:szCs w:val="22"/>
          <w:lang w:eastAsia="fr-FR"/>
        </w:rPr>
        <w:t>a exercé</w:t>
      </w:r>
      <w:r w:rsidR="00F31905" w:rsidRPr="006B4996">
        <w:rPr>
          <w:rFonts w:eastAsia="Times New Roman" w:cstheme="minorHAnsi"/>
          <w:sz w:val="22"/>
          <w:szCs w:val="22"/>
          <w:lang w:eastAsia="fr-FR"/>
        </w:rPr>
        <w:t xml:space="preserve"> plusieurs missions d’expertise dans des instances nationales : </w:t>
      </w:r>
      <w:r w:rsidR="00CF3185" w:rsidRPr="006B4996">
        <w:rPr>
          <w:rFonts w:eastAsia="Times New Roman" w:cstheme="minorHAnsi"/>
          <w:sz w:val="22"/>
          <w:szCs w:val="22"/>
          <w:lang w:eastAsia="fr-FR"/>
        </w:rPr>
        <w:t>Haut Conseil de l'évaluation de la recherche et de l'enseignement supérieur (</w:t>
      </w:r>
      <w:r w:rsidR="00A044FF" w:rsidRPr="006B4996">
        <w:rPr>
          <w:rFonts w:eastAsia="Times New Roman" w:cstheme="minorHAnsi"/>
          <w:sz w:val="22"/>
          <w:szCs w:val="22"/>
          <w:lang w:eastAsia="fr-FR"/>
        </w:rPr>
        <w:t>HCERES</w:t>
      </w:r>
      <w:r w:rsidR="00CF3185" w:rsidRPr="006B4996">
        <w:rPr>
          <w:rFonts w:eastAsia="Times New Roman" w:cstheme="minorHAnsi"/>
          <w:sz w:val="22"/>
          <w:szCs w:val="22"/>
          <w:lang w:eastAsia="fr-FR"/>
        </w:rPr>
        <w:t>), Haute autorité de santé</w:t>
      </w:r>
      <w:r w:rsidR="00A044FF" w:rsidRPr="006B4996">
        <w:rPr>
          <w:rFonts w:eastAsia="Times New Roman" w:cstheme="minorHAnsi"/>
          <w:sz w:val="22"/>
          <w:szCs w:val="22"/>
          <w:lang w:eastAsia="fr-FR"/>
        </w:rPr>
        <w:t xml:space="preserve">, </w:t>
      </w:r>
      <w:r w:rsidR="00CF3185" w:rsidRPr="006B4996">
        <w:rPr>
          <w:rFonts w:eastAsia="Times New Roman" w:cstheme="minorHAnsi"/>
          <w:sz w:val="22"/>
          <w:szCs w:val="22"/>
          <w:lang w:eastAsia="fr-FR"/>
        </w:rPr>
        <w:t>(</w:t>
      </w:r>
      <w:r w:rsidR="00F31905" w:rsidRPr="006B4996">
        <w:rPr>
          <w:rFonts w:eastAsia="Times New Roman" w:cstheme="minorHAnsi"/>
          <w:sz w:val="22"/>
          <w:szCs w:val="22"/>
          <w:lang w:eastAsia="fr-FR"/>
        </w:rPr>
        <w:t>HAS</w:t>
      </w:r>
      <w:r w:rsidR="00CF3185" w:rsidRPr="006B4996">
        <w:rPr>
          <w:rFonts w:eastAsia="Times New Roman" w:cstheme="minorHAnsi"/>
          <w:sz w:val="22"/>
          <w:szCs w:val="22"/>
          <w:lang w:eastAsia="fr-FR"/>
        </w:rPr>
        <w:t>)</w:t>
      </w:r>
      <w:r w:rsidR="00F31905" w:rsidRPr="006B4996">
        <w:rPr>
          <w:rFonts w:eastAsia="Times New Roman" w:cstheme="minorHAnsi"/>
          <w:sz w:val="22"/>
          <w:szCs w:val="22"/>
          <w:lang w:eastAsia="fr-FR"/>
        </w:rPr>
        <w:t xml:space="preserve">, </w:t>
      </w:r>
      <w:r w:rsidR="00CF3185" w:rsidRPr="006B4996">
        <w:rPr>
          <w:rFonts w:eastAsia="Times New Roman" w:cstheme="minorHAnsi"/>
          <w:sz w:val="22"/>
          <w:szCs w:val="22"/>
          <w:lang w:eastAsia="fr-FR"/>
        </w:rPr>
        <w:t>Agence nationale de la sécurité du médicament (</w:t>
      </w:r>
      <w:r w:rsidR="00F31905" w:rsidRPr="006B4996">
        <w:rPr>
          <w:rFonts w:eastAsia="Times New Roman" w:cstheme="minorHAnsi"/>
          <w:sz w:val="22"/>
          <w:szCs w:val="22"/>
          <w:lang w:eastAsia="fr-FR"/>
        </w:rPr>
        <w:t>ANSM</w:t>
      </w:r>
      <w:r w:rsidR="00CF3185" w:rsidRPr="006B4996">
        <w:rPr>
          <w:rFonts w:eastAsia="Times New Roman" w:cstheme="minorHAnsi"/>
          <w:sz w:val="22"/>
          <w:szCs w:val="22"/>
          <w:lang w:eastAsia="fr-FR"/>
        </w:rPr>
        <w:t>)</w:t>
      </w:r>
      <w:r w:rsidR="00F31905" w:rsidRPr="006B4996">
        <w:rPr>
          <w:rFonts w:eastAsia="Times New Roman" w:cstheme="minorHAnsi"/>
          <w:sz w:val="22"/>
          <w:szCs w:val="22"/>
          <w:lang w:eastAsia="fr-FR"/>
        </w:rPr>
        <w:t xml:space="preserve">, </w:t>
      </w:r>
      <w:r w:rsidR="00CF3185" w:rsidRPr="006B4996">
        <w:rPr>
          <w:rFonts w:eastAsia="Times New Roman" w:cstheme="minorHAnsi"/>
          <w:sz w:val="22"/>
          <w:szCs w:val="22"/>
          <w:lang w:eastAsia="fr-FR"/>
        </w:rPr>
        <w:t>Comité d'orientation stratégique et de suivi des essais cliniques (</w:t>
      </w:r>
      <w:r w:rsidR="00F31905" w:rsidRPr="006B4996">
        <w:rPr>
          <w:rFonts w:eastAsia="Times New Roman" w:cstheme="minorHAnsi"/>
          <w:sz w:val="22"/>
          <w:szCs w:val="22"/>
          <w:lang w:eastAsia="fr-FR"/>
        </w:rPr>
        <w:t>COSSEC</w:t>
      </w:r>
      <w:r w:rsidR="00CF3185" w:rsidRPr="006B4996">
        <w:rPr>
          <w:rFonts w:eastAsia="Times New Roman" w:cstheme="minorHAnsi"/>
          <w:sz w:val="22"/>
          <w:szCs w:val="22"/>
          <w:lang w:eastAsia="fr-FR"/>
        </w:rPr>
        <w:t>)</w:t>
      </w:r>
      <w:r w:rsidR="003D4155" w:rsidRPr="006B4996">
        <w:rPr>
          <w:rFonts w:eastAsia="Times New Roman" w:cstheme="minorHAnsi"/>
          <w:sz w:val="22"/>
          <w:szCs w:val="22"/>
          <w:lang w:eastAsia="fr-FR"/>
        </w:rPr>
        <w:t xml:space="preserve"> </w:t>
      </w:r>
      <w:r w:rsidR="00A044FF" w:rsidRPr="006B4996">
        <w:rPr>
          <w:rFonts w:eastAsia="Times New Roman" w:cstheme="minorHAnsi"/>
          <w:sz w:val="22"/>
          <w:szCs w:val="22"/>
          <w:lang w:eastAsia="fr-FR"/>
        </w:rPr>
        <w:t>de l’Inserm</w:t>
      </w:r>
      <w:r w:rsidR="00FA3FD5" w:rsidRPr="006B4996">
        <w:rPr>
          <w:rFonts w:eastAsia="Times New Roman" w:cstheme="minorHAnsi"/>
          <w:sz w:val="22"/>
          <w:szCs w:val="22"/>
          <w:lang w:eastAsia="fr-FR"/>
        </w:rPr>
        <w:t xml:space="preserve"> et a fait partie du collège des conseillers scientifiques de l’ITMO Santé Publique</w:t>
      </w:r>
      <w:r w:rsidR="00317DE1" w:rsidRPr="006B4996">
        <w:rPr>
          <w:rFonts w:eastAsia="Times New Roman" w:cstheme="minorHAnsi"/>
          <w:sz w:val="22"/>
          <w:szCs w:val="22"/>
          <w:lang w:eastAsia="fr-FR"/>
        </w:rPr>
        <w:t xml:space="preserve"> de l’alliance</w:t>
      </w:r>
      <w:r w:rsidR="00CF3185" w:rsidRPr="006B4996">
        <w:rPr>
          <w:rFonts w:eastAsia="Times New Roman" w:cstheme="minorHAnsi"/>
          <w:sz w:val="22"/>
          <w:szCs w:val="22"/>
          <w:lang w:eastAsia="fr-FR"/>
        </w:rPr>
        <w:t>. E</w:t>
      </w:r>
      <w:r w:rsidR="003D4155" w:rsidRPr="006B4996">
        <w:rPr>
          <w:rFonts w:eastAsia="Times New Roman" w:cstheme="minorHAnsi"/>
          <w:sz w:val="22"/>
          <w:szCs w:val="22"/>
          <w:lang w:eastAsia="fr-FR"/>
        </w:rPr>
        <w:t xml:space="preserve">lle a été membre du conseil d’administration du Luxembourg </w:t>
      </w:r>
      <w:r w:rsidR="0000072F" w:rsidRPr="006B4996">
        <w:rPr>
          <w:rFonts w:eastAsia="Times New Roman" w:cstheme="minorHAnsi"/>
          <w:sz w:val="22"/>
          <w:szCs w:val="22"/>
          <w:lang w:eastAsia="fr-FR"/>
        </w:rPr>
        <w:t>Institute</w:t>
      </w:r>
      <w:r w:rsidR="003D4155" w:rsidRPr="006B4996">
        <w:rPr>
          <w:rFonts w:eastAsia="Times New Roman" w:cstheme="minorHAnsi"/>
          <w:sz w:val="22"/>
          <w:szCs w:val="22"/>
          <w:lang w:eastAsia="fr-FR"/>
        </w:rPr>
        <w:t xml:space="preserve"> of </w:t>
      </w:r>
      <w:r w:rsidR="009776ED" w:rsidRPr="006B4996">
        <w:rPr>
          <w:rFonts w:eastAsia="Times New Roman" w:cstheme="minorHAnsi"/>
          <w:sz w:val="22"/>
          <w:szCs w:val="22"/>
          <w:lang w:eastAsia="fr-FR"/>
        </w:rPr>
        <w:t>H</w:t>
      </w:r>
      <w:r w:rsidR="00C60382" w:rsidRPr="006B4996">
        <w:rPr>
          <w:rFonts w:eastAsia="Times New Roman" w:cstheme="minorHAnsi"/>
          <w:sz w:val="22"/>
          <w:szCs w:val="22"/>
          <w:lang w:eastAsia="fr-FR"/>
        </w:rPr>
        <w:t>ealth durant 3 ans.</w:t>
      </w:r>
      <w:r w:rsidR="00544742" w:rsidRPr="006B4996">
        <w:rPr>
          <w:rFonts w:eastAsia="Times New Roman" w:cstheme="minorHAnsi"/>
          <w:sz w:val="22"/>
          <w:szCs w:val="22"/>
          <w:lang w:eastAsia="fr-FR"/>
        </w:rPr>
        <w:t xml:space="preserve"> </w:t>
      </w:r>
      <w:r w:rsidR="00544742" w:rsidRPr="006B4996">
        <w:rPr>
          <w:rFonts w:cstheme="minorHAnsi"/>
          <w:sz w:val="22"/>
          <w:szCs w:val="22"/>
        </w:rPr>
        <w:t xml:space="preserve">Elle a dirigé l’Institut Thématique de Santé Publique (Inserm), l’Institut Multi-Organisme Santé Publique de l’alliance AVIESAN et l’IReSP de mars 2017 à mars 2020. </w:t>
      </w:r>
    </w:p>
    <w:p w14:paraId="045686E6" w14:textId="5BE518C6" w:rsidR="003D4155" w:rsidRPr="006B4996" w:rsidRDefault="003D4155" w:rsidP="00AB30F9">
      <w:pPr>
        <w:spacing w:before="120" w:after="120"/>
        <w:jc w:val="both"/>
        <w:rPr>
          <w:rFonts w:eastAsia="Times New Roman" w:cstheme="minorHAnsi"/>
          <w:sz w:val="22"/>
          <w:szCs w:val="22"/>
          <w:lang w:eastAsia="fr-FR"/>
        </w:rPr>
      </w:pPr>
    </w:p>
    <w:p w14:paraId="54346E67" w14:textId="77777777" w:rsidR="002176E5" w:rsidRPr="006B4996" w:rsidRDefault="002176E5" w:rsidP="002176E5">
      <w:pPr>
        <w:rPr>
          <w:rFonts w:cstheme="minorHAnsi"/>
          <w:b/>
          <w:sz w:val="22"/>
          <w:szCs w:val="22"/>
          <w:lang w:val="en-US"/>
        </w:rPr>
      </w:pPr>
      <w:r w:rsidRPr="006B4996">
        <w:rPr>
          <w:rFonts w:cstheme="minorHAnsi"/>
          <w:b/>
          <w:sz w:val="22"/>
          <w:szCs w:val="22"/>
          <w:lang w:val="en-US"/>
        </w:rPr>
        <w:t>Publications n=280, H-Index 55</w:t>
      </w:r>
    </w:p>
    <w:p w14:paraId="0ECF7368" w14:textId="2434947F" w:rsidR="002176E5" w:rsidRPr="006B4996" w:rsidRDefault="002176E5" w:rsidP="002176E5">
      <w:pPr>
        <w:rPr>
          <w:rFonts w:cstheme="minorHAnsi"/>
          <w:sz w:val="22"/>
          <w:szCs w:val="22"/>
          <w:lang w:val="en-US"/>
        </w:rPr>
      </w:pPr>
      <w:r w:rsidRPr="006B4996">
        <w:rPr>
          <w:rFonts w:cstheme="minorHAnsi"/>
          <w:sz w:val="22"/>
          <w:szCs w:val="22"/>
          <w:lang w:val="en-US"/>
        </w:rPr>
        <w:t>1. Sommet J, Roux EL, Koehl B, Haouari Z, Mohamed D, Baruchel A, Benkerrou M, Alberti C. Variability of Prognostic Results Based on Biological Parameters in Sickle Cell Disease Cohort Studies in Children: What Should Clinicians Know?</w:t>
      </w:r>
      <w:r w:rsidR="00246349" w:rsidRPr="006B4996">
        <w:rPr>
          <w:rFonts w:cstheme="minorHAnsi"/>
          <w:sz w:val="22"/>
          <w:szCs w:val="22"/>
          <w:lang w:val="en-US"/>
        </w:rPr>
        <w:t xml:space="preserve"> </w:t>
      </w:r>
      <w:r w:rsidRPr="006B4996">
        <w:rPr>
          <w:rFonts w:cstheme="minorHAnsi"/>
          <w:sz w:val="22"/>
          <w:szCs w:val="22"/>
          <w:lang w:val="en-US"/>
        </w:rPr>
        <w:t xml:space="preserve">Children (Basel). 2021 Feb 13;8(2):143. </w:t>
      </w:r>
    </w:p>
    <w:p w14:paraId="478B125B" w14:textId="77777777" w:rsidR="002176E5" w:rsidRPr="006B4996" w:rsidRDefault="002176E5" w:rsidP="002176E5">
      <w:pPr>
        <w:rPr>
          <w:rFonts w:cstheme="minorHAnsi"/>
          <w:sz w:val="22"/>
          <w:szCs w:val="22"/>
          <w:lang w:val="en-US"/>
        </w:rPr>
      </w:pPr>
      <w:r w:rsidRPr="006B4996">
        <w:rPr>
          <w:rFonts w:cstheme="minorHAnsi"/>
          <w:sz w:val="22"/>
          <w:szCs w:val="22"/>
          <w:lang w:val="en-US"/>
        </w:rPr>
        <w:t xml:space="preserve">2. Martin P, Alberti C, Gottot S, Bourmaud A, de La Rochebrochard E. Expert Opinions on Web-Based Peer Education Interventions for Youth Sexual Health Promotion: Qualitative Study. J Med Internet Res. 2020 Nov 24;22(11):e18650. </w:t>
      </w:r>
    </w:p>
    <w:p w14:paraId="0F3EB0EA" w14:textId="1343D4BB" w:rsidR="002176E5" w:rsidRPr="006B4996" w:rsidRDefault="00246349" w:rsidP="002176E5">
      <w:pPr>
        <w:rPr>
          <w:rFonts w:cstheme="minorHAnsi"/>
          <w:sz w:val="22"/>
          <w:szCs w:val="22"/>
          <w:lang w:val="en-US"/>
        </w:rPr>
      </w:pPr>
      <w:r w:rsidRPr="006B4996">
        <w:rPr>
          <w:rFonts w:cstheme="minorHAnsi"/>
          <w:sz w:val="22"/>
          <w:szCs w:val="22"/>
          <w:lang w:val="en-US"/>
        </w:rPr>
        <w:t>3</w:t>
      </w:r>
      <w:r w:rsidR="002176E5" w:rsidRPr="006B4996">
        <w:rPr>
          <w:rFonts w:cstheme="minorHAnsi"/>
          <w:sz w:val="22"/>
          <w:szCs w:val="22"/>
          <w:lang w:val="en-US"/>
        </w:rPr>
        <w:t xml:space="preserve">. Michel M, Alberti C, Carel JC, Chevreul K. Association of Pediatric Inpatient Socioeconomic Status With Hospital Efficiency and Financial Balance. JAMA Netw Open. 2019 Oct 2;2(10):e1913656. </w:t>
      </w:r>
    </w:p>
    <w:p w14:paraId="7315CB7C" w14:textId="6428F68E" w:rsidR="002176E5" w:rsidRPr="006B4996" w:rsidRDefault="00246349" w:rsidP="002176E5">
      <w:pPr>
        <w:rPr>
          <w:rFonts w:cstheme="minorHAnsi"/>
          <w:sz w:val="22"/>
          <w:szCs w:val="22"/>
          <w:lang w:val="en-US"/>
        </w:rPr>
      </w:pPr>
      <w:r w:rsidRPr="006B4996">
        <w:rPr>
          <w:rFonts w:cstheme="minorHAnsi"/>
          <w:sz w:val="22"/>
          <w:szCs w:val="22"/>
          <w:lang w:val="en-US"/>
        </w:rPr>
        <w:lastRenderedPageBreak/>
        <w:t>4</w:t>
      </w:r>
      <w:r w:rsidR="002176E5" w:rsidRPr="006B4996">
        <w:rPr>
          <w:rFonts w:cstheme="minorHAnsi"/>
          <w:sz w:val="22"/>
          <w:szCs w:val="22"/>
          <w:lang w:val="en-US"/>
        </w:rPr>
        <w:t xml:space="preserve">. Aupiais C, Alberti C, Schmitz T, Baud O, Ursino M, Zohar S. A Bayesian non-inferiority approach using experts' margin elicitation - application to the monitoring of safety events. BMC Med Res Methodol. 2019 Sep 18;19(1):187. </w:t>
      </w:r>
    </w:p>
    <w:p w14:paraId="262C4305" w14:textId="77A2970E" w:rsidR="002176E5" w:rsidRPr="006B4996" w:rsidRDefault="00246349" w:rsidP="002176E5">
      <w:pPr>
        <w:rPr>
          <w:rFonts w:cstheme="minorHAnsi"/>
          <w:sz w:val="22"/>
          <w:szCs w:val="22"/>
          <w:lang w:val="en-US"/>
        </w:rPr>
      </w:pPr>
      <w:r w:rsidRPr="006B4996">
        <w:rPr>
          <w:rFonts w:cstheme="minorHAnsi"/>
          <w:sz w:val="22"/>
          <w:szCs w:val="22"/>
          <w:lang w:val="en-US"/>
        </w:rPr>
        <w:t>5</w:t>
      </w:r>
      <w:r w:rsidR="002176E5" w:rsidRPr="006B4996">
        <w:rPr>
          <w:rFonts w:cstheme="minorHAnsi"/>
          <w:sz w:val="22"/>
          <w:szCs w:val="22"/>
          <w:lang w:val="en-US"/>
        </w:rPr>
        <w:t xml:space="preserve">. Friedlander L, Berdal A, Boizeau P, Licht BA, Manière MC, Picard A, Azzis O, Vazquez MP, Alberti C, Molla MD. Oral health related quality of life of children and adolescents affected by rare orofacial diseases: a questionnaire-based cohort study. Orphanet J Rare Dis. 2019 Jun 4;14(1):124. </w:t>
      </w:r>
    </w:p>
    <w:p w14:paraId="0B13CABF" w14:textId="4B42F119" w:rsidR="002176E5" w:rsidRPr="006B4996" w:rsidRDefault="00246349" w:rsidP="002176E5">
      <w:pPr>
        <w:rPr>
          <w:rFonts w:cstheme="minorHAnsi"/>
          <w:sz w:val="22"/>
          <w:szCs w:val="22"/>
          <w:lang w:val="en-US"/>
        </w:rPr>
      </w:pPr>
      <w:r w:rsidRPr="006B4996">
        <w:rPr>
          <w:rFonts w:cstheme="minorHAnsi"/>
          <w:sz w:val="22"/>
          <w:szCs w:val="22"/>
          <w:lang w:val="en-US"/>
        </w:rPr>
        <w:t>6</w:t>
      </w:r>
      <w:r w:rsidR="002176E5" w:rsidRPr="006B4996">
        <w:rPr>
          <w:rFonts w:cstheme="minorHAnsi"/>
          <w:sz w:val="22"/>
          <w:szCs w:val="22"/>
          <w:lang w:val="en-US"/>
        </w:rPr>
        <w:t xml:space="preserve">. Le Roux E, Mellerio H, Jacquin P, Bourmaud A, Guilmin-Crépon S, Faye A, Matheron S, Boulkedid R, Alberti C. Practical generic guidelines for paediatric-to-adult transition for adolescents with chronic disease. Eur J Public Health. 2019 Jun 1;29(3):442-448. </w:t>
      </w:r>
    </w:p>
    <w:p w14:paraId="1155B025" w14:textId="3BECE1C2" w:rsidR="002176E5" w:rsidRPr="006B4996" w:rsidRDefault="00246349" w:rsidP="002176E5">
      <w:pPr>
        <w:rPr>
          <w:rFonts w:cstheme="minorHAnsi"/>
          <w:sz w:val="22"/>
          <w:szCs w:val="22"/>
          <w:lang w:val="en-US"/>
        </w:rPr>
      </w:pPr>
      <w:r w:rsidRPr="006B4996">
        <w:rPr>
          <w:rFonts w:cstheme="minorHAnsi"/>
          <w:sz w:val="22"/>
          <w:szCs w:val="22"/>
          <w:lang w:val="en-US"/>
        </w:rPr>
        <w:t>7</w:t>
      </w:r>
      <w:r w:rsidR="002176E5" w:rsidRPr="006B4996">
        <w:rPr>
          <w:rFonts w:cstheme="minorHAnsi"/>
          <w:sz w:val="22"/>
          <w:szCs w:val="22"/>
          <w:lang w:val="en-US"/>
        </w:rPr>
        <w:t xml:space="preserve">. Bremond-Gignac D, Jacqz-Aigrain E, Abdoul H, Daruich A, Beresniak A, Baud O, Alberti C; on behalf of the CLAIR FO Study Group. Ophthalmic Insert versus Eye Drops for Mydriasis in Neonates: A Randomized Clinical Trial. Neonatology. 2019;115(2):142-148. </w:t>
      </w:r>
    </w:p>
    <w:p w14:paraId="1F533C1B" w14:textId="7DC09943" w:rsidR="002176E5" w:rsidRPr="006B4996" w:rsidRDefault="00246349" w:rsidP="002176E5">
      <w:pPr>
        <w:rPr>
          <w:rFonts w:cstheme="minorHAnsi"/>
          <w:sz w:val="22"/>
          <w:szCs w:val="22"/>
          <w:lang w:val="en-US"/>
        </w:rPr>
      </w:pPr>
      <w:r w:rsidRPr="006B4996">
        <w:rPr>
          <w:rFonts w:cstheme="minorHAnsi"/>
          <w:sz w:val="22"/>
          <w:szCs w:val="22"/>
          <w:lang w:val="en-US"/>
        </w:rPr>
        <w:t>8</w:t>
      </w:r>
      <w:r w:rsidR="002176E5" w:rsidRPr="006B4996">
        <w:rPr>
          <w:rFonts w:cstheme="minorHAnsi"/>
          <w:sz w:val="22"/>
          <w:szCs w:val="22"/>
          <w:lang w:val="en-US"/>
        </w:rPr>
        <w:t xml:space="preserve">. Chevreul K, Gandré C, Gervaix J, Thillard J, Alberti C, Meurs D. Gender and access to professorships in academic medical settings in France. Med Educ. 2018 Oct;52(10):1073-1082. </w:t>
      </w:r>
    </w:p>
    <w:p w14:paraId="5735A848" w14:textId="71745150" w:rsidR="002176E5" w:rsidRPr="006B4996" w:rsidRDefault="00246349" w:rsidP="002176E5">
      <w:pPr>
        <w:rPr>
          <w:rFonts w:cstheme="minorHAnsi"/>
          <w:sz w:val="22"/>
          <w:szCs w:val="22"/>
          <w:lang w:val="en-US"/>
        </w:rPr>
      </w:pPr>
      <w:r w:rsidRPr="006B4996">
        <w:rPr>
          <w:rFonts w:cstheme="minorHAnsi"/>
          <w:sz w:val="22"/>
          <w:szCs w:val="22"/>
          <w:lang w:val="en-US"/>
        </w:rPr>
        <w:t>9</w:t>
      </w:r>
      <w:r w:rsidR="002176E5" w:rsidRPr="006B4996">
        <w:rPr>
          <w:rFonts w:cstheme="minorHAnsi"/>
          <w:sz w:val="22"/>
          <w:szCs w:val="22"/>
          <w:lang w:val="en-US"/>
        </w:rPr>
        <w:t xml:space="preserve">. Ouldali N, Bellêttre X, Milcent K, Guedj R, de Pontual L, Cojocaru B, Soussan-Banini V, Craiu I, Skurnik D, Gajdos V, Chéron G, Cohen R, Alberti C, Angoulvant F. Impact of Implementing National Guidelines on Antibiotic Prescriptions for Acute Respiratory Tract Infections in Pediatric Emergency Departments: An Interrupted Time Series Analysis. Clin Infect Dis. 2017 Oct 16;65(9):1469-1476. </w:t>
      </w:r>
    </w:p>
    <w:p w14:paraId="639CE1E0" w14:textId="0A7234B2" w:rsidR="002176E5" w:rsidRPr="006B4996" w:rsidRDefault="002176E5" w:rsidP="002176E5">
      <w:pPr>
        <w:rPr>
          <w:rFonts w:cstheme="minorHAnsi"/>
          <w:sz w:val="22"/>
          <w:szCs w:val="22"/>
          <w:lang w:val="en-US"/>
        </w:rPr>
      </w:pPr>
      <w:r w:rsidRPr="006B4996">
        <w:rPr>
          <w:rFonts w:cstheme="minorHAnsi"/>
          <w:sz w:val="22"/>
          <w:szCs w:val="22"/>
          <w:lang w:val="en-US"/>
        </w:rPr>
        <w:t>1</w:t>
      </w:r>
      <w:r w:rsidR="00246349" w:rsidRPr="006B4996">
        <w:rPr>
          <w:rFonts w:cstheme="minorHAnsi"/>
          <w:sz w:val="22"/>
          <w:szCs w:val="22"/>
          <w:lang w:val="en-US"/>
        </w:rPr>
        <w:t>0</w:t>
      </w:r>
      <w:r w:rsidRPr="006B4996">
        <w:rPr>
          <w:rFonts w:cstheme="minorHAnsi"/>
          <w:sz w:val="22"/>
          <w:szCs w:val="22"/>
          <w:lang w:val="en-US"/>
        </w:rPr>
        <w:t xml:space="preserve">. Baud O, Maury L, Lebail F, Ramful D, El Moussawi F, Nicaise C, Zupan-Simunek V, Coursol A, Beuchée A, Bolot P, Andrini P, Mohamed D, Alberti C; PREMILOC trial study group. Effect of early low-dose hydrocortisone on survival without bronchopulmonary dysplasia in extremely preterm infants (PREMILOC): a double-blind, placebo-controlled, multicentre, randomised trial. Lancet. 2016 Apr 30;387(10030):1827-36. </w:t>
      </w:r>
    </w:p>
    <w:p w14:paraId="46BFA3C9" w14:textId="69157E43" w:rsidR="00660FFB" w:rsidRPr="00AB30F9" w:rsidRDefault="00660FFB" w:rsidP="00E051D6">
      <w:pPr>
        <w:spacing w:before="120" w:after="120"/>
        <w:jc w:val="center"/>
        <w:rPr>
          <w:rFonts w:ascii="Calibri" w:hAnsi="Calibri" w:cs="Arial"/>
          <w:sz w:val="22"/>
          <w:szCs w:val="22"/>
        </w:rPr>
      </w:pPr>
    </w:p>
    <w:sectPr w:rsidR="00660FFB" w:rsidRPr="00AB30F9" w:rsidSect="00AB30F9">
      <w:pgSz w:w="11900" w:h="16840"/>
      <w:pgMar w:top="1011" w:right="1417" w:bottom="111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4DFA6" w14:textId="77777777" w:rsidR="00934625" w:rsidRDefault="00934625" w:rsidP="00EB7402">
      <w:r>
        <w:separator/>
      </w:r>
    </w:p>
  </w:endnote>
  <w:endnote w:type="continuationSeparator" w:id="0">
    <w:p w14:paraId="2445B445" w14:textId="77777777" w:rsidR="00934625" w:rsidRDefault="00934625" w:rsidP="00EB7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E1E4F" w14:textId="77777777" w:rsidR="00934625" w:rsidRDefault="00934625" w:rsidP="00EB7402">
      <w:r>
        <w:separator/>
      </w:r>
    </w:p>
  </w:footnote>
  <w:footnote w:type="continuationSeparator" w:id="0">
    <w:p w14:paraId="67128FE9" w14:textId="77777777" w:rsidR="00934625" w:rsidRDefault="00934625" w:rsidP="00EB7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B6959"/>
    <w:multiLevelType w:val="multilevel"/>
    <w:tmpl w:val="960E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0247F6"/>
    <w:multiLevelType w:val="multilevel"/>
    <w:tmpl w:val="B34A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F89"/>
    <w:rsid w:val="0000072F"/>
    <w:rsid w:val="000316C7"/>
    <w:rsid w:val="00031B9F"/>
    <w:rsid w:val="00050EB5"/>
    <w:rsid w:val="00054E2B"/>
    <w:rsid w:val="000834E9"/>
    <w:rsid w:val="00083CF3"/>
    <w:rsid w:val="000A3EA5"/>
    <w:rsid w:val="000B7F6D"/>
    <w:rsid w:val="000D3659"/>
    <w:rsid w:val="001257D7"/>
    <w:rsid w:val="00146C7C"/>
    <w:rsid w:val="0015240F"/>
    <w:rsid w:val="00155A33"/>
    <w:rsid w:val="0017509D"/>
    <w:rsid w:val="00185F16"/>
    <w:rsid w:val="001D13F2"/>
    <w:rsid w:val="001D68F6"/>
    <w:rsid w:val="001F285E"/>
    <w:rsid w:val="00203252"/>
    <w:rsid w:val="0020622C"/>
    <w:rsid w:val="002176E5"/>
    <w:rsid w:val="00235B94"/>
    <w:rsid w:val="00246349"/>
    <w:rsid w:val="00285C6C"/>
    <w:rsid w:val="002A78AB"/>
    <w:rsid w:val="002A7F89"/>
    <w:rsid w:val="002B743E"/>
    <w:rsid w:val="002C106A"/>
    <w:rsid w:val="002F2C21"/>
    <w:rsid w:val="003047D0"/>
    <w:rsid w:val="00314DA7"/>
    <w:rsid w:val="003166C7"/>
    <w:rsid w:val="00317DE1"/>
    <w:rsid w:val="003241DD"/>
    <w:rsid w:val="00346112"/>
    <w:rsid w:val="0035443B"/>
    <w:rsid w:val="00362523"/>
    <w:rsid w:val="00365E87"/>
    <w:rsid w:val="0038342C"/>
    <w:rsid w:val="003D099E"/>
    <w:rsid w:val="003D4155"/>
    <w:rsid w:val="003F0095"/>
    <w:rsid w:val="0040605B"/>
    <w:rsid w:val="004239C9"/>
    <w:rsid w:val="00464F06"/>
    <w:rsid w:val="00481214"/>
    <w:rsid w:val="004A1076"/>
    <w:rsid w:val="004A7E36"/>
    <w:rsid w:val="004C378A"/>
    <w:rsid w:val="004D76F5"/>
    <w:rsid w:val="0053095D"/>
    <w:rsid w:val="0053712D"/>
    <w:rsid w:val="00544742"/>
    <w:rsid w:val="00576407"/>
    <w:rsid w:val="0058434A"/>
    <w:rsid w:val="005973B6"/>
    <w:rsid w:val="005E4854"/>
    <w:rsid w:val="00617D20"/>
    <w:rsid w:val="00625F13"/>
    <w:rsid w:val="0062602D"/>
    <w:rsid w:val="0064375A"/>
    <w:rsid w:val="00653491"/>
    <w:rsid w:val="00660A75"/>
    <w:rsid w:val="00660FFB"/>
    <w:rsid w:val="00682867"/>
    <w:rsid w:val="00690AA6"/>
    <w:rsid w:val="00690F69"/>
    <w:rsid w:val="006944EA"/>
    <w:rsid w:val="006B2204"/>
    <w:rsid w:val="006B4996"/>
    <w:rsid w:val="006D097D"/>
    <w:rsid w:val="006D1B76"/>
    <w:rsid w:val="006F36EA"/>
    <w:rsid w:val="006F3C67"/>
    <w:rsid w:val="006F4D64"/>
    <w:rsid w:val="00701AF0"/>
    <w:rsid w:val="007079C4"/>
    <w:rsid w:val="00720D87"/>
    <w:rsid w:val="00752656"/>
    <w:rsid w:val="00766E75"/>
    <w:rsid w:val="00784006"/>
    <w:rsid w:val="007A18CA"/>
    <w:rsid w:val="007A6560"/>
    <w:rsid w:val="007B67D8"/>
    <w:rsid w:val="007E0DBB"/>
    <w:rsid w:val="007E4F89"/>
    <w:rsid w:val="007F0E06"/>
    <w:rsid w:val="007F100C"/>
    <w:rsid w:val="008157C0"/>
    <w:rsid w:val="008220B6"/>
    <w:rsid w:val="00850E7F"/>
    <w:rsid w:val="008546BE"/>
    <w:rsid w:val="008679D7"/>
    <w:rsid w:val="008E500D"/>
    <w:rsid w:val="008F41CB"/>
    <w:rsid w:val="008F5DF5"/>
    <w:rsid w:val="008F6A04"/>
    <w:rsid w:val="00921601"/>
    <w:rsid w:val="009324D1"/>
    <w:rsid w:val="00934625"/>
    <w:rsid w:val="009776ED"/>
    <w:rsid w:val="009A1170"/>
    <w:rsid w:val="009B73F3"/>
    <w:rsid w:val="009C6771"/>
    <w:rsid w:val="009D5840"/>
    <w:rsid w:val="009E7EB3"/>
    <w:rsid w:val="00A044FF"/>
    <w:rsid w:val="00A12445"/>
    <w:rsid w:val="00A12767"/>
    <w:rsid w:val="00A133B9"/>
    <w:rsid w:val="00A1438F"/>
    <w:rsid w:val="00A725B4"/>
    <w:rsid w:val="00A76F0D"/>
    <w:rsid w:val="00AB30F9"/>
    <w:rsid w:val="00AB5241"/>
    <w:rsid w:val="00AE1680"/>
    <w:rsid w:val="00AF1E88"/>
    <w:rsid w:val="00AF2B4B"/>
    <w:rsid w:val="00B3696C"/>
    <w:rsid w:val="00B3728F"/>
    <w:rsid w:val="00B42D53"/>
    <w:rsid w:val="00B61818"/>
    <w:rsid w:val="00B633CB"/>
    <w:rsid w:val="00B65001"/>
    <w:rsid w:val="00B704B3"/>
    <w:rsid w:val="00B91014"/>
    <w:rsid w:val="00B97F96"/>
    <w:rsid w:val="00BA42E9"/>
    <w:rsid w:val="00BA7657"/>
    <w:rsid w:val="00BB0C1B"/>
    <w:rsid w:val="00BC79F4"/>
    <w:rsid w:val="00BF65A7"/>
    <w:rsid w:val="00C14B33"/>
    <w:rsid w:val="00C31B5D"/>
    <w:rsid w:val="00C60382"/>
    <w:rsid w:val="00C7258D"/>
    <w:rsid w:val="00C97163"/>
    <w:rsid w:val="00CB2D3E"/>
    <w:rsid w:val="00CC18D5"/>
    <w:rsid w:val="00CF3185"/>
    <w:rsid w:val="00CF747E"/>
    <w:rsid w:val="00D20E7D"/>
    <w:rsid w:val="00D23908"/>
    <w:rsid w:val="00D42172"/>
    <w:rsid w:val="00D54113"/>
    <w:rsid w:val="00D907AA"/>
    <w:rsid w:val="00D96214"/>
    <w:rsid w:val="00DB31C6"/>
    <w:rsid w:val="00DC0D01"/>
    <w:rsid w:val="00DC4AC6"/>
    <w:rsid w:val="00DD43AA"/>
    <w:rsid w:val="00E051D6"/>
    <w:rsid w:val="00E64924"/>
    <w:rsid w:val="00E83D27"/>
    <w:rsid w:val="00E8620D"/>
    <w:rsid w:val="00EA7691"/>
    <w:rsid w:val="00EB7402"/>
    <w:rsid w:val="00EE698A"/>
    <w:rsid w:val="00EF0248"/>
    <w:rsid w:val="00F10C46"/>
    <w:rsid w:val="00F11723"/>
    <w:rsid w:val="00F12498"/>
    <w:rsid w:val="00F15125"/>
    <w:rsid w:val="00F31905"/>
    <w:rsid w:val="00F543E6"/>
    <w:rsid w:val="00F75868"/>
    <w:rsid w:val="00F81B72"/>
    <w:rsid w:val="00F96259"/>
    <w:rsid w:val="00FA3FD5"/>
    <w:rsid w:val="00FA7E9D"/>
    <w:rsid w:val="00FC4544"/>
    <w:rsid w:val="00FC4EF2"/>
    <w:rsid w:val="00FD72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EDAFA"/>
  <w15:docId w15:val="{7EC6039E-5ED3-9346-8CB6-647B24C57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B7402"/>
  </w:style>
  <w:style w:type="character" w:customStyle="1" w:styleId="NotedebasdepageCar">
    <w:name w:val="Note de bas de page Car"/>
    <w:basedOn w:val="Policepardfaut"/>
    <w:link w:val="Notedebasdepage"/>
    <w:uiPriority w:val="99"/>
    <w:rsid w:val="00EB7402"/>
  </w:style>
  <w:style w:type="character" w:styleId="Appelnotedebasdep">
    <w:name w:val="footnote reference"/>
    <w:basedOn w:val="Policepardfaut"/>
    <w:uiPriority w:val="99"/>
    <w:unhideWhenUsed/>
    <w:rsid w:val="00EB7402"/>
    <w:rPr>
      <w:vertAlign w:val="superscript"/>
    </w:rPr>
  </w:style>
  <w:style w:type="paragraph" w:styleId="Textedebulles">
    <w:name w:val="Balloon Text"/>
    <w:basedOn w:val="Normal"/>
    <w:link w:val="TextedebullesCar"/>
    <w:uiPriority w:val="99"/>
    <w:semiHidden/>
    <w:unhideWhenUsed/>
    <w:rsid w:val="00AF2B4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F2B4B"/>
    <w:rPr>
      <w:rFonts w:ascii="Times New Roman" w:hAnsi="Times New Roman" w:cs="Times New Roman"/>
      <w:sz w:val="18"/>
      <w:szCs w:val="18"/>
    </w:rPr>
  </w:style>
  <w:style w:type="character" w:customStyle="1" w:styleId="apple-converted-space">
    <w:name w:val="apple-converted-space"/>
    <w:basedOn w:val="Policepardfaut"/>
    <w:rsid w:val="000B7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341324">
      <w:bodyDiv w:val="1"/>
      <w:marLeft w:val="0"/>
      <w:marRight w:val="0"/>
      <w:marTop w:val="0"/>
      <w:marBottom w:val="0"/>
      <w:divBdr>
        <w:top w:val="none" w:sz="0" w:space="0" w:color="auto"/>
        <w:left w:val="none" w:sz="0" w:space="0" w:color="auto"/>
        <w:bottom w:val="none" w:sz="0" w:space="0" w:color="auto"/>
        <w:right w:val="none" w:sz="0" w:space="0" w:color="auto"/>
      </w:divBdr>
    </w:div>
    <w:div w:id="1289122893">
      <w:bodyDiv w:val="1"/>
      <w:marLeft w:val="0"/>
      <w:marRight w:val="0"/>
      <w:marTop w:val="0"/>
      <w:marBottom w:val="0"/>
      <w:divBdr>
        <w:top w:val="none" w:sz="0" w:space="0" w:color="auto"/>
        <w:left w:val="none" w:sz="0" w:space="0" w:color="auto"/>
        <w:bottom w:val="none" w:sz="0" w:space="0" w:color="auto"/>
        <w:right w:val="none" w:sz="0" w:space="0" w:color="auto"/>
      </w:divBdr>
      <w:divsChild>
        <w:div w:id="1079786302">
          <w:marLeft w:val="0"/>
          <w:marRight w:val="0"/>
          <w:marTop w:val="0"/>
          <w:marBottom w:val="0"/>
          <w:divBdr>
            <w:top w:val="none" w:sz="0" w:space="0" w:color="auto"/>
            <w:left w:val="none" w:sz="0" w:space="0" w:color="auto"/>
            <w:bottom w:val="none" w:sz="0" w:space="0" w:color="auto"/>
            <w:right w:val="none" w:sz="0" w:space="0" w:color="auto"/>
          </w:divBdr>
        </w:div>
      </w:divsChild>
    </w:div>
    <w:div w:id="1371493880">
      <w:bodyDiv w:val="1"/>
      <w:marLeft w:val="0"/>
      <w:marRight w:val="0"/>
      <w:marTop w:val="0"/>
      <w:marBottom w:val="0"/>
      <w:divBdr>
        <w:top w:val="none" w:sz="0" w:space="0" w:color="auto"/>
        <w:left w:val="none" w:sz="0" w:space="0" w:color="auto"/>
        <w:bottom w:val="none" w:sz="0" w:space="0" w:color="auto"/>
        <w:right w:val="none" w:sz="0" w:space="0" w:color="auto"/>
      </w:divBdr>
    </w:div>
    <w:div w:id="1464418591">
      <w:bodyDiv w:val="1"/>
      <w:marLeft w:val="0"/>
      <w:marRight w:val="0"/>
      <w:marTop w:val="0"/>
      <w:marBottom w:val="0"/>
      <w:divBdr>
        <w:top w:val="none" w:sz="0" w:space="0" w:color="auto"/>
        <w:left w:val="none" w:sz="0" w:space="0" w:color="auto"/>
        <w:bottom w:val="none" w:sz="0" w:space="0" w:color="auto"/>
        <w:right w:val="none" w:sz="0" w:space="0" w:color="auto"/>
      </w:divBdr>
    </w:div>
    <w:div w:id="1579054126">
      <w:bodyDiv w:val="1"/>
      <w:marLeft w:val="0"/>
      <w:marRight w:val="0"/>
      <w:marTop w:val="0"/>
      <w:marBottom w:val="0"/>
      <w:divBdr>
        <w:top w:val="none" w:sz="0" w:space="0" w:color="auto"/>
        <w:left w:val="none" w:sz="0" w:space="0" w:color="auto"/>
        <w:bottom w:val="none" w:sz="0" w:space="0" w:color="auto"/>
        <w:right w:val="none" w:sz="0" w:space="0" w:color="auto"/>
      </w:divBdr>
    </w:div>
    <w:div w:id="1582788733">
      <w:bodyDiv w:val="1"/>
      <w:marLeft w:val="0"/>
      <w:marRight w:val="0"/>
      <w:marTop w:val="0"/>
      <w:marBottom w:val="0"/>
      <w:divBdr>
        <w:top w:val="none" w:sz="0" w:space="0" w:color="auto"/>
        <w:left w:val="none" w:sz="0" w:space="0" w:color="auto"/>
        <w:bottom w:val="none" w:sz="0" w:space="0" w:color="auto"/>
        <w:right w:val="none" w:sz="0" w:space="0" w:color="auto"/>
      </w:divBdr>
    </w:div>
    <w:div w:id="1769541796">
      <w:bodyDiv w:val="1"/>
      <w:marLeft w:val="0"/>
      <w:marRight w:val="0"/>
      <w:marTop w:val="0"/>
      <w:marBottom w:val="0"/>
      <w:divBdr>
        <w:top w:val="none" w:sz="0" w:space="0" w:color="auto"/>
        <w:left w:val="none" w:sz="0" w:space="0" w:color="auto"/>
        <w:bottom w:val="none" w:sz="0" w:space="0" w:color="auto"/>
        <w:right w:val="none" w:sz="0" w:space="0" w:color="auto"/>
      </w:divBdr>
    </w:div>
    <w:div w:id="1955406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845</Words>
  <Characters>4649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Alberti</dc:creator>
  <cp:keywords/>
  <dc:description/>
  <cp:lastModifiedBy>MARILLIER Maude</cp:lastModifiedBy>
  <cp:revision>7</cp:revision>
  <dcterms:created xsi:type="dcterms:W3CDTF">2021-03-16T17:15:00Z</dcterms:created>
  <dcterms:modified xsi:type="dcterms:W3CDTF">2021-09-23T14:28:00Z</dcterms:modified>
</cp:coreProperties>
</file>